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09" w:rsidRPr="009A0509" w:rsidRDefault="009A0509" w:rsidP="009A0509">
      <w:pPr>
        <w:shd w:val="clear" w:color="auto" w:fill="FFFFFF"/>
        <w:spacing w:before="274" w:after="274" w:line="276" w:lineRule="auto"/>
        <w:ind w:left="0"/>
        <w:rPr>
          <w:rFonts w:ascii="Open Sans" w:eastAsia="Times New Roman" w:hAnsi="Open Sans" w:cs="Open Sans"/>
          <w:color w:val="000000"/>
          <w:sz w:val="21"/>
          <w:szCs w:val="21"/>
        </w:rPr>
      </w:pPr>
      <w:r w:rsidRPr="009A0509">
        <w:rPr>
          <w:rFonts w:ascii="Open Sans" w:eastAsia="Times New Roman" w:hAnsi="Open Sans" w:cs="Open Sans"/>
          <w:b/>
          <w:color w:val="000000"/>
          <w:sz w:val="24"/>
          <w:szCs w:val="24"/>
          <w:u w:val="single"/>
        </w:rPr>
        <w:t>The Rotary Foundation Cadre of Technical Advisers</w:t>
      </w:r>
      <w:r w:rsidRPr="009A0509">
        <w:rPr>
          <w:rFonts w:ascii="Open Sans" w:eastAsia="Times New Roman" w:hAnsi="Open Sans" w:cs="Open Sans"/>
          <w:color w:val="000000"/>
          <w:sz w:val="21"/>
          <w:szCs w:val="21"/>
        </w:rPr>
        <w:t xml:space="preserve"> is a network of Rotary members who work to increase the impact of projects funded by The Rotary Foundation. We use our professional expertise and technical skills in Rotary’s </w:t>
      </w:r>
      <w:hyperlink r:id="rId5" w:tgtFrame="_blank" w:history="1">
        <w:r w:rsidRPr="009A0509">
          <w:rPr>
            <w:rFonts w:ascii="Open Sans" w:eastAsia="Times New Roman" w:hAnsi="Open Sans" w:cs="Open Sans"/>
            <w:color w:val="005DAA"/>
            <w:sz w:val="21"/>
            <w:u w:val="single"/>
          </w:rPr>
          <w:t>areas of focus</w:t>
        </w:r>
      </w:hyperlink>
      <w:r w:rsidRPr="009A0509">
        <w:rPr>
          <w:rFonts w:ascii="Open Sans" w:eastAsia="Times New Roman" w:hAnsi="Open Sans" w:cs="Open Sans"/>
          <w:color w:val="000000"/>
          <w:sz w:val="21"/>
          <w:szCs w:val="21"/>
        </w:rPr>
        <w:t> and financial auditing to help members plan projects, submit stronger grant applications, and implement effective monitoring and evaluation activities.</w:t>
      </w:r>
    </w:p>
    <w:p w:rsidR="009A0509" w:rsidRPr="009A0509" w:rsidRDefault="009A0509" w:rsidP="009A0509">
      <w:pPr>
        <w:shd w:val="clear" w:color="auto" w:fill="FFFFFF"/>
        <w:spacing w:before="274" w:after="274" w:line="276" w:lineRule="auto"/>
        <w:ind w:left="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The Cadre includes more than 500 members from 75 countries who speak more than 80 languages.</w:t>
      </w:r>
    </w:p>
    <w:p w:rsidR="009A0509" w:rsidRPr="009A0509" w:rsidRDefault="009A0509" w:rsidP="009A0509">
      <w:pPr>
        <w:shd w:val="clear" w:color="auto" w:fill="FFFFFF"/>
        <w:spacing w:before="251" w:after="196" w:line="276" w:lineRule="auto"/>
        <w:ind w:left="0"/>
        <w:outlineLvl w:val="2"/>
        <w:rPr>
          <w:rFonts w:ascii="Open Sans" w:eastAsia="Times New Roman" w:hAnsi="Open Sans" w:cs="Open Sans"/>
          <w:color w:val="000000"/>
          <w:sz w:val="21"/>
          <w:szCs w:val="21"/>
        </w:rPr>
      </w:pPr>
      <w:r w:rsidRPr="009A0509">
        <w:rPr>
          <w:rFonts w:ascii="Open Sans" w:eastAsia="Times New Roman" w:hAnsi="Open Sans" w:cs="Open Sans"/>
          <w:b/>
          <w:bCs/>
          <w:color w:val="000000"/>
          <w:sz w:val="24"/>
          <w:szCs w:val="24"/>
        </w:rPr>
        <w:t>What we do</w:t>
      </w:r>
      <w:r>
        <w:rPr>
          <w:rFonts w:ascii="Open Sans" w:eastAsia="Times New Roman" w:hAnsi="Open Sans" w:cs="Open Sans"/>
          <w:b/>
          <w:bCs/>
          <w:color w:val="000000"/>
          <w:sz w:val="33"/>
          <w:szCs w:val="33"/>
        </w:rPr>
        <w:t>-</w:t>
      </w:r>
      <w:r w:rsidRPr="009A0509">
        <w:rPr>
          <w:rFonts w:ascii="Open Sans" w:eastAsia="Times New Roman" w:hAnsi="Open Sans" w:cs="Open Sans"/>
          <w:color w:val="000000"/>
          <w:sz w:val="21"/>
          <w:szCs w:val="21"/>
        </w:rPr>
        <w:t>Cadre advisers are part of Rotary's </w:t>
      </w:r>
      <w:hyperlink r:id="rId6" w:tgtFrame="_blank" w:history="1">
        <w:r w:rsidRPr="009A0509">
          <w:rPr>
            <w:rFonts w:ascii="Open Sans" w:eastAsia="Times New Roman" w:hAnsi="Open Sans" w:cs="Open Sans"/>
            <w:color w:val="005DAA"/>
            <w:sz w:val="21"/>
            <w:u w:val="single"/>
          </w:rPr>
          <w:t>district resource networks</w:t>
        </w:r>
      </w:hyperlink>
      <w:r w:rsidRPr="009A0509">
        <w:rPr>
          <w:rFonts w:ascii="Open Sans" w:eastAsia="Times New Roman" w:hAnsi="Open Sans" w:cs="Open Sans"/>
          <w:color w:val="000000"/>
          <w:sz w:val="21"/>
          <w:szCs w:val="21"/>
        </w:rPr>
        <w:t>. In addition to our technical and regional expertise, we are regularly learning about the latest grant requirements and policies, advising techniques, elements of sustainable projects, and approaches to monitoring and evaluation. When a Cadre adviser provides guidance on planning and implementation, the most common result is a high-quality, sustainable project.</w:t>
      </w:r>
    </w:p>
    <w:p w:rsidR="009A0509" w:rsidRPr="009A0509" w:rsidRDefault="009A0509" w:rsidP="009A0509">
      <w:pPr>
        <w:shd w:val="clear" w:color="auto" w:fill="FFFFFF"/>
        <w:spacing w:line="343" w:lineRule="atLeast"/>
        <w:ind w:left="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We serve Rotary members as:</w:t>
      </w:r>
    </w:p>
    <w:p w:rsidR="009A0509" w:rsidRPr="009A0509" w:rsidRDefault="009A0509" w:rsidP="009A0509">
      <w:pPr>
        <w:numPr>
          <w:ilvl w:val="0"/>
          <w:numId w:val="1"/>
        </w:numPr>
        <w:shd w:val="clear" w:color="auto" w:fill="FFFFFF"/>
        <w:spacing w:line="343" w:lineRule="atLeast"/>
        <w:ind w:left="225"/>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Consultants who offer clubs and districts guidance on:</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Understanding Rotary’s areas of focus</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Designing </w:t>
      </w:r>
      <w:hyperlink r:id="rId7" w:tgtFrame="_blank" w:history="1">
        <w:r w:rsidRPr="009A0509">
          <w:rPr>
            <w:rFonts w:ascii="Open Sans" w:eastAsia="Times New Roman" w:hAnsi="Open Sans" w:cs="Open Sans"/>
            <w:color w:val="005DAA"/>
            <w:sz w:val="21"/>
            <w:u w:val="single"/>
          </w:rPr>
          <w:t>community assessments</w:t>
        </w:r>
      </w:hyperlink>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Considering cultural and environmental factors</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hyperlink r:id="rId8" w:tgtFrame="_parent" w:history="1">
        <w:r w:rsidRPr="009A0509">
          <w:rPr>
            <w:rFonts w:ascii="Open Sans" w:eastAsia="Times New Roman" w:hAnsi="Open Sans" w:cs="Open Sans"/>
            <w:color w:val="005DAA"/>
            <w:sz w:val="21"/>
            <w:u w:val="single"/>
          </w:rPr>
          <w:t>Planning and implementing projects</w:t>
        </w:r>
      </w:hyperlink>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Evaluating a project’s technical feasibility</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Incorporating elements of sustainability</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Developing </w:t>
      </w:r>
      <w:hyperlink r:id="rId9" w:tgtFrame="_blank" w:history="1">
        <w:r w:rsidRPr="009A0509">
          <w:rPr>
            <w:rFonts w:ascii="Open Sans" w:eastAsia="Times New Roman" w:hAnsi="Open Sans" w:cs="Open Sans"/>
            <w:color w:val="005DAA"/>
            <w:sz w:val="21"/>
            <w:u w:val="single"/>
          </w:rPr>
          <w:t>monitoring and evaluation</w:t>
        </w:r>
      </w:hyperlink>
      <w:r w:rsidRPr="009A0509">
        <w:rPr>
          <w:rFonts w:ascii="Open Sans" w:eastAsia="Times New Roman" w:hAnsi="Open Sans" w:cs="Open Sans"/>
          <w:color w:val="000000"/>
          <w:sz w:val="21"/>
          <w:szCs w:val="21"/>
        </w:rPr>
        <w:t> plans</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Using strong financial management practices</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Navigating the </w:t>
      </w:r>
      <w:hyperlink r:id="rId10" w:tgtFrame="_parent" w:history="1">
        <w:r w:rsidRPr="009A0509">
          <w:rPr>
            <w:rFonts w:ascii="Open Sans" w:eastAsia="Times New Roman" w:hAnsi="Open Sans" w:cs="Open Sans"/>
            <w:color w:val="005DAA"/>
            <w:sz w:val="21"/>
            <w:u w:val="single"/>
          </w:rPr>
          <w:t>global grant application process</w:t>
        </w:r>
      </w:hyperlink>
    </w:p>
    <w:p w:rsidR="009A0509" w:rsidRPr="009A0509" w:rsidRDefault="009A0509" w:rsidP="009A0509">
      <w:pPr>
        <w:numPr>
          <w:ilvl w:val="0"/>
          <w:numId w:val="2"/>
        </w:numPr>
        <w:shd w:val="clear" w:color="auto" w:fill="FFFFFF"/>
        <w:spacing w:line="343" w:lineRule="atLeast"/>
        <w:ind w:left="225"/>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Evaluators appointed by The Rotary Foundation to:</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Review applications for Foundation funding</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Conduct site visits to evaluate the quality, sustainability, and management of approved </w:t>
      </w:r>
      <w:hyperlink r:id="rId11" w:tgtFrame="_parent" w:history="1">
        <w:r w:rsidRPr="009A0509">
          <w:rPr>
            <w:rFonts w:ascii="Open Sans" w:eastAsia="Times New Roman" w:hAnsi="Open Sans" w:cs="Open Sans"/>
            <w:color w:val="005DAA"/>
            <w:sz w:val="21"/>
            <w:u w:val="single"/>
          </w:rPr>
          <w:t>activities funded by the Foundation</w:t>
        </w:r>
      </w:hyperlink>
      <w:r w:rsidRPr="009A0509">
        <w:rPr>
          <w:rFonts w:ascii="Open Sans" w:eastAsia="Times New Roman" w:hAnsi="Open Sans" w:cs="Open Sans"/>
          <w:color w:val="000000"/>
          <w:sz w:val="21"/>
          <w:szCs w:val="21"/>
        </w:rPr>
        <w:t> through global grants, district grants, corporate social responsibility grants, disaster response grants, Programs of Scale, the Rotary Healthy Communities Challenge, and other initiatives and partnerships</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Oversee how Foundation funds are spent through financial reviews and audits</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Make recommendations to help Rotary staff members and Trustees make informed decisions about programs</w:t>
      </w:r>
    </w:p>
    <w:p w:rsidR="009A0509" w:rsidRPr="009A0509" w:rsidRDefault="009A0509" w:rsidP="009A0509">
      <w:pPr>
        <w:numPr>
          <w:ilvl w:val="1"/>
          <w:numId w:val="2"/>
        </w:numPr>
        <w:shd w:val="clear" w:color="auto" w:fill="FFFFFF"/>
        <w:spacing w:line="343" w:lineRule="atLeast"/>
        <w:ind w:left="450"/>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Offer guidance to project sponsors on how to address any challenges and make changes to have a larger impact</w:t>
      </w:r>
    </w:p>
    <w:p w:rsidR="009A0509" w:rsidRDefault="009A0509" w:rsidP="009A0509">
      <w:pPr>
        <w:numPr>
          <w:ilvl w:val="0"/>
          <w:numId w:val="2"/>
        </w:numPr>
        <w:shd w:val="clear" w:color="auto" w:fill="FFFFFF"/>
        <w:spacing w:line="343" w:lineRule="atLeast"/>
        <w:ind w:left="225"/>
        <w:rPr>
          <w:rFonts w:ascii="Open Sans" w:eastAsia="Times New Roman" w:hAnsi="Open Sans" w:cs="Open Sans"/>
          <w:color w:val="000000"/>
          <w:sz w:val="21"/>
          <w:szCs w:val="21"/>
        </w:rPr>
      </w:pPr>
      <w:r w:rsidRPr="009A0509">
        <w:rPr>
          <w:rFonts w:ascii="Open Sans" w:eastAsia="Times New Roman" w:hAnsi="Open Sans" w:cs="Open Sans"/>
          <w:color w:val="000000"/>
          <w:sz w:val="21"/>
          <w:szCs w:val="21"/>
        </w:rPr>
        <w:t>Learning facilitators at grant management seminars, club meetings, Rotary institutes, district conferences, and other Rotary events that involve topics in which we have expertise</w:t>
      </w:r>
    </w:p>
    <w:p w:rsidR="009A0509" w:rsidRDefault="009A0509" w:rsidP="009A0509">
      <w:pPr>
        <w:shd w:val="clear" w:color="auto" w:fill="FFFFFF"/>
        <w:spacing w:line="343" w:lineRule="atLeast"/>
        <w:rPr>
          <w:rFonts w:ascii="Open Sans" w:eastAsia="Times New Roman" w:hAnsi="Open Sans" w:cs="Open Sans"/>
          <w:color w:val="000000"/>
          <w:sz w:val="21"/>
          <w:szCs w:val="21"/>
        </w:rPr>
      </w:pPr>
    </w:p>
    <w:p w:rsidR="009A0509" w:rsidRPr="009A0509" w:rsidRDefault="009A0509" w:rsidP="009A0509">
      <w:pPr>
        <w:shd w:val="clear" w:color="auto" w:fill="FFFFFF"/>
        <w:spacing w:line="343" w:lineRule="atLeast"/>
        <w:rPr>
          <w:rFonts w:ascii="Open Sans" w:eastAsia="Times New Roman" w:hAnsi="Open Sans" w:cs="Open Sans"/>
          <w:color w:val="000000"/>
          <w:sz w:val="21"/>
          <w:szCs w:val="21"/>
        </w:rPr>
      </w:pPr>
    </w:p>
    <w:p w:rsidR="003830A5" w:rsidRDefault="009A0509">
      <w:r w:rsidRPr="009A0509">
        <w:rPr>
          <w:b/>
        </w:rPr>
        <w:t>LEARN MORE</w:t>
      </w:r>
      <w:r>
        <w:t xml:space="preserve"> - </w:t>
      </w:r>
      <w:r w:rsidRPr="009A0509">
        <w:t xml:space="preserve">Info on Cadre: </w:t>
      </w:r>
      <w:hyperlink r:id="rId12" w:history="1">
        <w:r w:rsidRPr="009A0509">
          <w:rPr>
            <w:rStyle w:val="Hyperlink"/>
          </w:rPr>
          <w:t>https://my.rotary.org/en/cadre-technical-advisers</w:t>
        </w:r>
      </w:hyperlink>
    </w:p>
    <w:sectPr w:rsidR="003830A5" w:rsidSect="00992CF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35AB"/>
    <w:multiLevelType w:val="multilevel"/>
    <w:tmpl w:val="4DA64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9A0509"/>
    <w:rsid w:val="002276A1"/>
    <w:rsid w:val="00245854"/>
    <w:rsid w:val="0025298B"/>
    <w:rsid w:val="002E1EA3"/>
    <w:rsid w:val="003019D0"/>
    <w:rsid w:val="00327C50"/>
    <w:rsid w:val="00371032"/>
    <w:rsid w:val="003830A5"/>
    <w:rsid w:val="00495654"/>
    <w:rsid w:val="004B03B7"/>
    <w:rsid w:val="005D1E7D"/>
    <w:rsid w:val="005F22A0"/>
    <w:rsid w:val="00992CF5"/>
    <w:rsid w:val="009A0509"/>
    <w:rsid w:val="00A0659A"/>
    <w:rsid w:val="00B04807"/>
    <w:rsid w:val="00C76F62"/>
    <w:rsid w:val="00CE193C"/>
    <w:rsid w:val="00D7041F"/>
    <w:rsid w:val="00DB7C8F"/>
    <w:rsid w:val="00E21AB4"/>
    <w:rsid w:val="00EB2802"/>
    <w:rsid w:val="00F90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paragraph" w:styleId="Heading3">
    <w:name w:val="heading 3"/>
    <w:basedOn w:val="Normal"/>
    <w:link w:val="Heading3Char"/>
    <w:uiPriority w:val="9"/>
    <w:qFormat/>
    <w:rsid w:val="009A0509"/>
    <w:pPr>
      <w:spacing w:before="100" w:beforeAutospacing="1" w:after="100" w:afterAutospacing="1"/>
      <w:ind w:left="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50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A0509"/>
    <w:pPr>
      <w:spacing w:before="100" w:beforeAutospacing="1" w:after="100" w:afterAutospacing="1"/>
      <w:ind w:lef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0509"/>
    <w:rPr>
      <w:color w:val="0000FF"/>
      <w:u w:val="single"/>
    </w:rPr>
  </w:style>
</w:styles>
</file>

<file path=word/webSettings.xml><?xml version="1.0" encoding="utf-8"?>
<w:webSettings xmlns:r="http://schemas.openxmlformats.org/officeDocument/2006/relationships" xmlns:w="http://schemas.openxmlformats.org/wordprocessingml/2006/main">
  <w:divs>
    <w:div w:id="11580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cms.rotary.org/en/take-action/develop-projects/developing-effective-proje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cms.rotary.org/en/document/community-assessment-tools" TargetMode="External"/><Relationship Id="rId12" Type="http://schemas.openxmlformats.org/officeDocument/2006/relationships/hyperlink" Target="https://my.rotary.org/en/cadre-technical-advis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ms.rotary.org/en/document/take-first-step-planning-sustainable-successful-projects-grants" TargetMode="External"/><Relationship Id="rId11" Type="http://schemas.openxmlformats.org/officeDocument/2006/relationships/hyperlink" Target="https://my-cms.rotary.org/en/take-action/apply-grants" TargetMode="External"/><Relationship Id="rId5" Type="http://schemas.openxmlformats.org/officeDocument/2006/relationships/hyperlink" Target="https://my-cms.rotary.org/en/document/rotarys-areas-focus" TargetMode="External"/><Relationship Id="rId10" Type="http://schemas.openxmlformats.org/officeDocument/2006/relationships/hyperlink" Target="https://my-cms.rotary.org/en/take-action/apply-grants/global-grants/" TargetMode="External"/><Relationship Id="rId4" Type="http://schemas.openxmlformats.org/officeDocument/2006/relationships/webSettings" Target="webSettings.xml"/><Relationship Id="rId9" Type="http://schemas.openxmlformats.org/officeDocument/2006/relationships/hyperlink" Target="https://my-cms.rotary.org/en/document/global-grant-monitoring-and-evaluation-plan-suppl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2</cp:revision>
  <dcterms:created xsi:type="dcterms:W3CDTF">2025-04-06T19:44:00Z</dcterms:created>
  <dcterms:modified xsi:type="dcterms:W3CDTF">2025-04-06T19:48:00Z</dcterms:modified>
</cp:coreProperties>
</file>