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2B4E" w14:textId="3F9D8ABF" w:rsidR="009B3031" w:rsidRPr="00E62903" w:rsidRDefault="009B3031" w:rsidP="009B3031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</w:pPr>
      <w:r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Rotary Clubs</w:t>
      </w:r>
      <w:r w:rsidR="001A683E"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 xml:space="preserve"> and Dues</w:t>
      </w:r>
    </w:p>
    <w:p w14:paraId="2A72DF30" w14:textId="13E8ED3C" w:rsidR="00C13F9E" w:rsidRPr="00F31287" w:rsidRDefault="00C13F9E" w:rsidP="009B303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2777B2A" w14:textId="0CFF64C5" w:rsidR="00F31287" w:rsidRPr="00AB7A16" w:rsidRDefault="00C13F9E" w:rsidP="00F31287">
      <w:pPr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Rotary Clubs pay dues 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as a member of 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istrict 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6710 </w:t>
      </w:r>
      <w:r w:rsidR="00F31287"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as part of</w:t>
      </w:r>
      <w:r w:rsidR="00F31287"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Rotary International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B7A16" w:rsidRPr="00F31287">
        <w:rPr>
          <w:rFonts w:ascii="Georgia" w:hAnsi="Georgia"/>
          <w:sz w:val="24"/>
          <w:szCs w:val="24"/>
        </w:rPr>
        <w:t>Dues are calculated based on the membership numbers report</w:t>
      </w:r>
      <w:r w:rsidR="00AB7A16">
        <w:rPr>
          <w:rFonts w:ascii="Georgia" w:hAnsi="Georgia"/>
          <w:sz w:val="24"/>
          <w:szCs w:val="24"/>
        </w:rPr>
        <w:t>ed in DACDB and finalized through Member Compare o</w:t>
      </w:r>
      <w:r w:rsidR="00550A4F">
        <w:rPr>
          <w:rFonts w:ascii="Georgia" w:hAnsi="Georgia"/>
          <w:sz w:val="24"/>
          <w:szCs w:val="24"/>
        </w:rPr>
        <w:t>n</w:t>
      </w:r>
      <w:r w:rsidR="00AB7A16" w:rsidRPr="00F31287">
        <w:rPr>
          <w:rFonts w:ascii="Georgia" w:hAnsi="Georgia"/>
          <w:sz w:val="24"/>
          <w:szCs w:val="24"/>
        </w:rPr>
        <w:t xml:space="preserve"> 1 January and 1 July of each year.</w:t>
      </w:r>
      <w:r w:rsidR="00AB7A16" w:rsidRPr="00AB7A16">
        <w:rPr>
          <w:rFonts w:ascii="Georgia" w:hAnsi="Georgia"/>
          <w:sz w:val="24"/>
          <w:szCs w:val="24"/>
        </w:rPr>
        <w:t xml:space="preserve"> </w:t>
      </w:r>
      <w:r w:rsidR="00E62903">
        <w:rPr>
          <w:rFonts w:ascii="Georgia" w:hAnsi="Georgia"/>
          <w:sz w:val="24"/>
          <w:szCs w:val="24"/>
        </w:rPr>
        <w:t>The Rotary year runs July 1-June 30.</w:t>
      </w:r>
    </w:p>
    <w:p w14:paraId="74CFB6FF" w14:textId="10028DF2" w:rsidR="00F31287" w:rsidRPr="00CF6EF7" w:rsidRDefault="00F31287" w:rsidP="00CF6EF7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District Dues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the operations of District 6710 and the support for clubs including 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digital resources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, events, communications, resources, and training. </w:t>
      </w:r>
    </w:p>
    <w:p w14:paraId="6D79B94E" w14:textId="6A0A8631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Voted on at District Conference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previous year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by all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participants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14:paraId="22E9029E" w14:textId="012F9945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in August, due September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30-</w:t>
      </w:r>
      <w:r w:rsidR="00AB7A16" w:rsidRPr="00F31287">
        <w:rPr>
          <w:rFonts w:ascii="Georgia" w:hAnsi="Georgia"/>
          <w:sz w:val="24"/>
          <w:szCs w:val="24"/>
        </w:rPr>
        <w:t>balance is due in full</w:t>
      </w:r>
      <w:r w:rsidR="00AB7A16">
        <w:rPr>
          <w:rFonts w:ascii="Georgia" w:hAnsi="Georgia"/>
          <w:sz w:val="24"/>
          <w:szCs w:val="24"/>
        </w:rPr>
        <w:t>.</w:t>
      </w:r>
    </w:p>
    <w:p w14:paraId="311E4DC8" w14:textId="5A945823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Invoice sent </w:t>
      </w:r>
      <w:r w:rsid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digitally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to club president, secretary</w:t>
      </w:r>
      <w:r w:rsidR="00595418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treasurer</w:t>
      </w:r>
      <w:r w:rsidR="00595418">
        <w:rPr>
          <w:rFonts w:ascii="Georgia" w:eastAsia="Times New Roman" w:hAnsi="Georgia" w:cs="Times New Roman"/>
          <w:color w:val="000000"/>
          <w:sz w:val="24"/>
          <w:szCs w:val="24"/>
        </w:rPr>
        <w:t>, and Executive Secretary/Director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; includes ability to pay online</w:t>
      </w:r>
    </w:p>
    <w:p w14:paraId="03FFCFF4" w14:textId="5EEE7A7F" w:rsidR="00E62903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Per Capita ($3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6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annually)</w:t>
      </w:r>
    </w:p>
    <w:p w14:paraId="6ECE1486" w14:textId="520F3D63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$2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9</w:t>
      </w: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 xml:space="preserve"> Membership Dues</w:t>
      </w: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ab/>
      </w:r>
    </w:p>
    <w:p w14:paraId="72F646BF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$1 Educational &amp; Humanitarian Assessments</w:t>
      </w:r>
    </w:p>
    <w:p w14:paraId="6D050725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$1 District Developmental Assessments</w:t>
      </w:r>
    </w:p>
    <w:p w14:paraId="74EFF6B9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$5 District Conference/Meeting Assessments</w:t>
      </w:r>
    </w:p>
    <w:p w14:paraId="2AD44F45" w14:textId="3BF17342" w:rsidR="00AB7A16" w:rsidRPr="00F31287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$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400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PETS assessment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 xml:space="preserve"> per club</w:t>
      </w:r>
    </w:p>
    <w:p w14:paraId="1C4F1E95" w14:textId="481CA49E" w:rsidR="00F31287" w:rsidRPr="00CF6EF7" w:rsidRDefault="00F31287" w:rsidP="00CF6EF7">
      <w:pPr>
        <w:rPr>
          <w:rFonts w:ascii="Georgia" w:hAnsi="Georgia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Rotary International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C13F9E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Pr="00CF6EF7">
        <w:rPr>
          <w:rFonts w:ascii="Georgia" w:hAnsi="Georgia"/>
          <w:sz w:val="24"/>
          <w:szCs w:val="24"/>
        </w:rPr>
        <w:t xml:space="preserve">general operating expenses, including producing publications in several languages; providing club, district, and project support; offering training and resources for incoming club leaders; and maintaining the Rotary website. </w:t>
      </w:r>
    </w:p>
    <w:p w14:paraId="76F03C40" w14:textId="77777777" w:rsidR="00595418" w:rsidRPr="00F31287" w:rsidRDefault="00595418" w:rsidP="00595418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semi-annually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around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Jan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1 and July 1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Pr="00F31287">
        <w:rPr>
          <w:rFonts w:ascii="Georgia" w:hAnsi="Georgia"/>
          <w:sz w:val="24"/>
          <w:szCs w:val="24"/>
        </w:rPr>
        <w:t>balance is due in full</w:t>
      </w:r>
      <w:r>
        <w:rPr>
          <w:rFonts w:ascii="Georgia" w:hAnsi="Georgia"/>
          <w:sz w:val="24"/>
          <w:szCs w:val="24"/>
        </w:rPr>
        <w:t>.</w:t>
      </w:r>
    </w:p>
    <w:p w14:paraId="794451FE" w14:textId="77777777" w:rsidR="00595418" w:rsidRPr="008C74F9" w:rsidRDefault="00595418" w:rsidP="00595418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Invoice sent digitally to all officers of the club and can be viewed and paid on rotary.org&gt;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MyRotary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>&gt;Manage&gt;Club Administration</w:t>
      </w:r>
    </w:p>
    <w:p w14:paraId="03A27D24" w14:textId="150AF9D8" w:rsidR="00F31287" w:rsidRPr="00F31287" w:rsidRDefault="00F31287" w:rsidP="00CF6EF7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The Council on Legislation (COL)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which has representation from every district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is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held every three years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makes the recommendation for the dues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for the next three years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to the board.</w:t>
      </w:r>
    </w:p>
    <w:p w14:paraId="3424E0BC" w14:textId="20ED8051" w:rsidR="008C74F9" w:rsidRPr="008C74F9" w:rsidRDefault="00F31287" w:rsidP="008C74F9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he COL recommended that </w:t>
      </w: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>he yearly </w:t>
      </w:r>
      <w:hyperlink r:id="rId6" w:tgtFrame="_blank" w:history="1">
        <w:r w:rsidR="00C13F9E" w:rsidRPr="008C74F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per capita dues that clubs pay to RI</w:t>
        </w:r>
      </w:hyperlink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 are </w:t>
      </w:r>
      <w:r w:rsidR="008C74F9" w:rsidRPr="008C74F9">
        <w:rPr>
          <w:rFonts w:ascii="Georgia" w:hAnsi="Georgia"/>
          <w:sz w:val="24"/>
          <w:szCs w:val="24"/>
        </w:rPr>
        <w:t>set at:</w:t>
      </w:r>
    </w:p>
    <w:p w14:paraId="49A24CEC" w14:textId="203BCD13" w:rsidR="008C74F9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$41.00 per half year in 2025-26</w:t>
      </w:r>
    </w:p>
    <w:p w14:paraId="3F9C3816" w14:textId="6358195C" w:rsidR="00550A4F" w:rsidRDefault="00550A4F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$42.75 </w:t>
      </w:r>
      <w:r w:rsidRPr="00550A4F">
        <w:rPr>
          <w:rFonts w:ascii="Georgia" w:hAnsi="Georgia"/>
          <w:sz w:val="24"/>
          <w:szCs w:val="24"/>
        </w:rPr>
        <w:t>per half year in 202</w:t>
      </w:r>
      <w:r>
        <w:rPr>
          <w:rFonts w:ascii="Georgia" w:hAnsi="Georgia"/>
          <w:sz w:val="24"/>
          <w:szCs w:val="24"/>
        </w:rPr>
        <w:t>6</w:t>
      </w:r>
      <w:r w:rsidRPr="00550A4F">
        <w:rPr>
          <w:rFonts w:ascii="Georgia" w:hAnsi="Georgia"/>
          <w:sz w:val="24"/>
          <w:szCs w:val="24"/>
        </w:rPr>
        <w:t>-2</w:t>
      </w:r>
      <w:r>
        <w:rPr>
          <w:rFonts w:ascii="Georgia" w:hAnsi="Georgia"/>
          <w:sz w:val="24"/>
          <w:szCs w:val="24"/>
        </w:rPr>
        <w:t>7</w:t>
      </w:r>
    </w:p>
    <w:p w14:paraId="1D1A6B89" w14:textId="255EDDD1" w:rsidR="00550A4F" w:rsidRDefault="00550A4F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$44.63 </w:t>
      </w:r>
      <w:r w:rsidRPr="00550A4F">
        <w:rPr>
          <w:rFonts w:ascii="Georgia" w:hAnsi="Georgia"/>
          <w:sz w:val="24"/>
          <w:szCs w:val="24"/>
        </w:rPr>
        <w:t>per half year in 202</w:t>
      </w:r>
      <w:r>
        <w:rPr>
          <w:rFonts w:ascii="Georgia" w:hAnsi="Georgia"/>
          <w:sz w:val="24"/>
          <w:szCs w:val="24"/>
        </w:rPr>
        <w:t>7</w:t>
      </w:r>
      <w:r w:rsidRPr="00550A4F">
        <w:rPr>
          <w:rFonts w:ascii="Georgia" w:hAnsi="Georgia"/>
          <w:sz w:val="24"/>
          <w:szCs w:val="24"/>
        </w:rPr>
        <w:t>-2</w:t>
      </w:r>
      <w:r>
        <w:rPr>
          <w:rFonts w:ascii="Georgia" w:hAnsi="Georgia"/>
          <w:sz w:val="24"/>
          <w:szCs w:val="24"/>
        </w:rPr>
        <w:t>8</w:t>
      </w:r>
    </w:p>
    <w:p w14:paraId="065BE9F5" w14:textId="6C0F9DC9" w:rsidR="00550A4F" w:rsidRDefault="00550A4F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$46.50 </w:t>
      </w:r>
      <w:r w:rsidRPr="00550A4F">
        <w:rPr>
          <w:rFonts w:ascii="Georgia" w:hAnsi="Georgia"/>
          <w:sz w:val="24"/>
          <w:szCs w:val="24"/>
        </w:rPr>
        <w:t>per half year in 202</w:t>
      </w:r>
      <w:r>
        <w:rPr>
          <w:rFonts w:ascii="Georgia" w:hAnsi="Georgia"/>
          <w:sz w:val="24"/>
          <w:szCs w:val="24"/>
        </w:rPr>
        <w:t>8</w:t>
      </w:r>
      <w:r w:rsidRPr="00550A4F">
        <w:rPr>
          <w:rFonts w:ascii="Georgia" w:hAnsi="Georgia"/>
          <w:sz w:val="24"/>
          <w:szCs w:val="24"/>
        </w:rPr>
        <w:t>-2</w:t>
      </w:r>
      <w:r>
        <w:rPr>
          <w:rFonts w:ascii="Georgia" w:hAnsi="Georgia"/>
          <w:sz w:val="24"/>
          <w:szCs w:val="24"/>
        </w:rPr>
        <w:t>9</w:t>
      </w:r>
    </w:p>
    <w:p w14:paraId="23B17158" w14:textId="77777777" w:rsidR="004C0FA9" w:rsidRPr="00550A4F" w:rsidRDefault="004C0FA9" w:rsidP="004C0FA9">
      <w:pPr>
        <w:pStyle w:val="ListParagraph"/>
        <w:numPr>
          <w:ilvl w:val="1"/>
          <w:numId w:val="2"/>
        </w:numPr>
        <w:ind w:left="360"/>
        <w:rPr>
          <w:rFonts w:ascii="Georgia" w:eastAsia="Times New Roman" w:hAnsi="Georgia" w:cs="Tahoma"/>
          <w:color w:val="000000"/>
          <w:sz w:val="24"/>
          <w:szCs w:val="24"/>
        </w:rPr>
      </w:pPr>
      <w:r w:rsidRPr="004C0FA9">
        <w:rPr>
          <w:rFonts w:ascii="Georgia" w:eastAsia="Times New Roman" w:hAnsi="Georgia" w:cs="Times New Roman"/>
          <w:color w:val="000000"/>
          <w:sz w:val="24"/>
          <w:szCs w:val="24"/>
        </w:rPr>
        <w:t>Rotaract</w:t>
      </w:r>
      <w:r w:rsidRPr="00550A4F">
        <w:rPr>
          <w:rFonts w:ascii="Georgia" w:eastAsia="Times New Roman" w:hAnsi="Georgia" w:cs="Tahoma"/>
          <w:color w:val="000000"/>
          <w:sz w:val="24"/>
          <w:szCs w:val="24"/>
        </w:rPr>
        <w:t xml:space="preserve"> club per capita dues per year are as follows:</w:t>
      </w:r>
    </w:p>
    <w:p w14:paraId="6955FE3B" w14:textId="77777777" w:rsidR="004C0FA9" w:rsidRPr="00550A4F" w:rsidRDefault="004C0FA9" w:rsidP="004C0FA9">
      <w:pPr>
        <w:pStyle w:val="ListParagraph"/>
        <w:numPr>
          <w:ilvl w:val="1"/>
          <w:numId w:val="2"/>
        </w:numPr>
        <w:rPr>
          <w:rFonts w:ascii="Georgia" w:eastAsia="Times New Roman" w:hAnsi="Georgia" w:cs="Tahoma"/>
          <w:color w:val="000000"/>
          <w:sz w:val="24"/>
          <w:szCs w:val="24"/>
        </w:rPr>
      </w:pPr>
      <w:r w:rsidRPr="00550A4F">
        <w:rPr>
          <w:rFonts w:ascii="Georgia" w:eastAsia="Times New Roman" w:hAnsi="Georgia" w:cs="Tahoma"/>
          <w:color w:val="000000"/>
          <w:sz w:val="24"/>
          <w:szCs w:val="24"/>
        </w:rPr>
        <w:t>Community-based: $8.00</w:t>
      </w:r>
    </w:p>
    <w:p w14:paraId="2306FF4B" w14:textId="77777777" w:rsidR="004C0FA9" w:rsidRPr="009B3031" w:rsidRDefault="004C0FA9" w:rsidP="004C0FA9">
      <w:pPr>
        <w:pStyle w:val="ListParagraph"/>
        <w:numPr>
          <w:ilvl w:val="1"/>
          <w:numId w:val="2"/>
        </w:numPr>
        <w:rPr>
          <w:rFonts w:ascii="Georgia" w:eastAsia="Times New Roman" w:hAnsi="Georgia" w:cs="Tahoma"/>
          <w:color w:val="000000"/>
          <w:sz w:val="24"/>
          <w:szCs w:val="24"/>
        </w:rPr>
      </w:pPr>
      <w:r w:rsidRPr="00550A4F">
        <w:rPr>
          <w:rFonts w:ascii="Georgia" w:eastAsia="Times New Roman" w:hAnsi="Georgia" w:cs="Tahoma"/>
          <w:color w:val="000000"/>
          <w:sz w:val="24"/>
          <w:szCs w:val="24"/>
        </w:rPr>
        <w:t>University-based: $5.00</w:t>
      </w:r>
    </w:p>
    <w:p w14:paraId="4296F30B" w14:textId="327D1E66" w:rsidR="00C13F9E" w:rsidRPr="009B3031" w:rsidRDefault="00C13F9E" w:rsidP="00CF6EF7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Remember that there is also:</w:t>
      </w:r>
    </w:p>
    <w:p w14:paraId="33F6C3FD" w14:textId="76AFAC16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9</w:t>
      </w: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 xml:space="preserve"> per member for the Rotarian Magazine in July and January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(whether digital or paper version</w:t>
      </w:r>
      <w:r w:rsidR="00550A4F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1CC99655" w14:textId="77777777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$1.50 per member in July for the Council on Legislation;</w:t>
      </w:r>
    </w:p>
    <w:p w14:paraId="1BE2FC73" w14:textId="236EA63F" w:rsidR="00AB7A16" w:rsidRPr="00AB7A16" w:rsidRDefault="00595418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ahoma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$8.07 </w:t>
      </w:r>
      <w:r w:rsidR="00C13F9E" w:rsidRPr="009B3031">
        <w:rPr>
          <w:rFonts w:ascii="Georgia" w:eastAsia="Times New Roman" w:hAnsi="Georgia" w:cs="Times New Roman"/>
          <w:color w:val="000000"/>
          <w:sz w:val="24"/>
          <w:szCs w:val="24"/>
        </w:rPr>
        <w:t>per member in July for Club liability insurance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$6.82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General Liability &amp; 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$1.25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D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irectors &amp;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O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>fficers/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E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mployment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P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ractices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L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 xml:space="preserve">iability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I</w:t>
      </w:r>
      <w:r w:rsidRPr="00595418">
        <w:rPr>
          <w:rFonts w:ascii="Georgia" w:eastAsia="Times New Roman" w:hAnsi="Georgia" w:cs="Times New Roman"/>
          <w:color w:val="000000"/>
          <w:sz w:val="24"/>
          <w:szCs w:val="24"/>
        </w:rPr>
        <w:t>nsurance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)</w:t>
      </w:r>
    </w:p>
    <w:p w14:paraId="31D0A032" w14:textId="59E6548E" w:rsidR="009B3031" w:rsidRDefault="009B3031" w:rsidP="009B3031">
      <w:pPr>
        <w:rPr>
          <w:rFonts w:ascii="Georgia" w:hAnsi="Georgia"/>
          <w:sz w:val="24"/>
          <w:szCs w:val="24"/>
        </w:rPr>
      </w:pPr>
      <w:r w:rsidRPr="00F31287">
        <w:rPr>
          <w:rFonts w:ascii="Georgia" w:hAnsi="Georgia"/>
          <w:sz w:val="24"/>
          <w:szCs w:val="24"/>
        </w:rPr>
        <w:t>Be sure and plan accordingly!</w:t>
      </w:r>
    </w:p>
    <w:p w14:paraId="07653418" w14:textId="45728CEE" w:rsidR="00595418" w:rsidRDefault="00550A4F" w:rsidP="00550A4F">
      <w:pPr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June 11, 2025</w:t>
      </w:r>
    </w:p>
    <w:p w14:paraId="1A2831B9" w14:textId="77777777" w:rsidR="00595418" w:rsidRDefault="00595418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3CB62F60" w14:textId="414D26AD" w:rsidR="00595418" w:rsidRPr="00595418" w:rsidRDefault="00595418" w:rsidP="0059541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95418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FROM ROTARY INTERNATIONAL-RISK MANAGEMENT</w:t>
      </w:r>
    </w:p>
    <w:p w14:paraId="191DC356" w14:textId="47D19F2D" w:rsidR="00595418" w:rsidRPr="00595418" w:rsidRDefault="00595418" w:rsidP="00595418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5954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Sent to all officers and officers-elect</w:t>
      </w:r>
      <w:r w:rsidRPr="005954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-June 16, 2025</w:t>
      </w:r>
    </w:p>
    <w:p w14:paraId="6F89E75C" w14:textId="73752E1D" w:rsidR="00595418" w:rsidRPr="00595418" w:rsidRDefault="00595418" w:rsidP="005954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95418">
        <w:rPr>
          <w:rFonts w:ascii="Arial" w:eastAsia="Times New Roman" w:hAnsi="Arial" w:cs="Arial"/>
          <w:color w:val="000000"/>
          <w:sz w:val="24"/>
          <w:szCs w:val="24"/>
        </w:rPr>
        <w:t>Risk Management would like to advise you of the </w:t>
      </w:r>
      <w:r w:rsidRPr="005954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2025-26 insurance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595418">
        <w:rPr>
          <w:rFonts w:ascii="Arial" w:eastAsia="Times New Roman" w:hAnsi="Arial" w:cs="Arial"/>
          <w:b/>
          <w:bCs/>
          <w:color w:val="000000"/>
          <w:sz w:val="24"/>
          <w:szCs w:val="24"/>
        </w:rPr>
        <w:t>ssessments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95418">
        <w:rPr>
          <w:rFonts w:ascii="Arial" w:eastAsia="Times New Roman" w:hAnsi="Arial" w:cs="Arial"/>
          <w:color w:val="000000"/>
          <w:sz w:val="24"/>
          <w:szCs w:val="24"/>
        </w:rPr>
        <w:t>that will be charged on the July Club Invoice. These insurance assessments fund the U.S. Club Program costs which include self-insured retention funding, commercial insurance premiums for primary and excess insurance, and Program general and administrative expenses. </w:t>
      </w:r>
    </w:p>
    <w:p w14:paraId="187DB23B" w14:textId="77777777" w:rsidR="00595418" w:rsidRPr="00595418" w:rsidRDefault="00595418" w:rsidP="005954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95418">
        <w:rPr>
          <w:rFonts w:ascii="Arial" w:eastAsia="Times New Roman" w:hAnsi="Arial" w:cs="Arial"/>
          <w:color w:val="000000"/>
          <w:sz w:val="24"/>
          <w:szCs w:val="24"/>
        </w:rPr>
        <w:t>The assessments are determined by an actuarial consultant and are based on claims activity per state. A credit is applied due to the U.S. Club Program's favorable loss history.</w:t>
      </w:r>
    </w:p>
    <w:p w14:paraId="292B3403" w14:textId="77777777" w:rsidR="00595418" w:rsidRPr="00595418" w:rsidRDefault="00595418" w:rsidP="005954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95418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2025-26 Insurance Assessment Rates (Per Member)</w:t>
      </w:r>
    </w:p>
    <w:tbl>
      <w:tblPr>
        <w:tblW w:w="112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7"/>
        <w:gridCol w:w="1113"/>
        <w:gridCol w:w="1820"/>
      </w:tblGrid>
      <w:tr w:rsidR="00595418" w:rsidRPr="00595418" w14:paraId="38FD075D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721DD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States and Territories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B2620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GL Rate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289CB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D&amp;O/EPL Rate</w:t>
            </w:r>
          </w:p>
        </w:tc>
      </w:tr>
      <w:tr w:rsidR="00595418" w:rsidRPr="00595418" w14:paraId="06E8204C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053B9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CA, CT, FL, NH, NJ, NM, NV, NY, OR, PA, UT, WI, WV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8D15A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427CF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$1.25</w:t>
            </w:r>
          </w:p>
        </w:tc>
      </w:tr>
      <w:tr w:rsidR="00595418" w:rsidRPr="00595418" w14:paraId="06A86375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BACE6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highlight w:val="yellow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KY, MT, OH, RI, TN, VA,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4AA41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highlight w:val="yellow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$6.82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4A04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highlight w:val="yellow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$1.25</w:t>
            </w:r>
          </w:p>
        </w:tc>
      </w:tr>
      <w:tr w:rsidR="00595418" w:rsidRPr="00595418" w14:paraId="05B21EAC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C377B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CO, IL, LA, MA, MD, ME, MI, MN, MO, NC, SC, TX, WY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91118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1B463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$1.25</w:t>
            </w:r>
          </w:p>
        </w:tc>
      </w:tr>
      <w:tr w:rsidR="00595418" w:rsidRPr="00595418" w14:paraId="5E885861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F64C2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AK, AL, AR, AZ, DC, DE, GA, HI, IA, ID, IN, KS, MS, ND, NE, OK, SD, 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929C4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3FC06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$1.25</w:t>
            </w:r>
          </w:p>
        </w:tc>
      </w:tr>
      <w:tr w:rsidR="00595418" w:rsidRPr="00595418" w14:paraId="64FB31AA" w14:textId="77777777" w:rsidTr="005954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37827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Samoa, Guam, Northern Mariana Islands, Puerto Rico,</w:t>
            </w: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U.S. Virgin Islands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52DC3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$2.96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95128" w14:textId="77777777" w:rsidR="00595418" w:rsidRPr="00595418" w:rsidRDefault="00595418" w:rsidP="00595418">
            <w:pPr>
              <w:spacing w:before="240" w:after="24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5954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$1.25</w:t>
            </w:r>
          </w:p>
        </w:tc>
      </w:tr>
    </w:tbl>
    <w:p w14:paraId="13AD2133" w14:textId="77777777" w:rsidR="00595418" w:rsidRPr="00595418" w:rsidRDefault="00595418" w:rsidP="005954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595418">
        <w:rPr>
          <w:rFonts w:ascii="Arial" w:eastAsia="Times New Roman" w:hAnsi="Arial" w:cs="Arial"/>
          <w:color w:val="000000"/>
          <w:sz w:val="24"/>
          <w:szCs w:val="24"/>
        </w:rPr>
        <w:t>In order to calculate your club's total assessment, multiply the GL and D&amp;O/EPL rates for your state by the number of members in your club.  </w:t>
      </w:r>
      <w:r w:rsidRPr="005954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954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95418">
        <w:rPr>
          <w:rFonts w:ascii="Arial" w:eastAsia="Times New Roman" w:hAnsi="Arial" w:cs="Arial"/>
          <w:i/>
          <w:iCs/>
          <w:color w:val="000000"/>
          <w:sz w:val="24"/>
          <w:szCs w:val="24"/>
        </w:rPr>
        <w:t>Example: A club in IL with 50 members will owe $295.00 for GL insurance and $62.50 for D&amp;O/EPL insurance.</w:t>
      </w:r>
      <w:r w:rsidRPr="005954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95418">
        <w:rPr>
          <w:rFonts w:ascii="Arial" w:eastAsia="Times New Roman" w:hAnsi="Arial" w:cs="Arial"/>
          <w:color w:val="000000"/>
          <w:sz w:val="24"/>
          <w:szCs w:val="24"/>
        </w:rPr>
        <w:br/>
        <w:t>GL assessments are increasing on average by 14% compared to last year, driven by an increase in GL program costs while D&amp;O/EPL assessments were nearly the same reflecting more favorable conditions for that market segment. </w:t>
      </w:r>
    </w:p>
    <w:p w14:paraId="5695688B" w14:textId="7738B98C" w:rsidR="00595418" w:rsidRDefault="00595418">
      <w:pPr>
        <w:rPr>
          <w:rFonts w:ascii="Georgia" w:hAnsi="Georgia"/>
          <w:i/>
          <w:iCs/>
          <w:sz w:val="20"/>
          <w:szCs w:val="20"/>
        </w:rPr>
      </w:pPr>
    </w:p>
    <w:p w14:paraId="50075C73" w14:textId="77777777" w:rsidR="008C74F9" w:rsidRPr="008C74F9" w:rsidRDefault="008C74F9" w:rsidP="00550A4F">
      <w:pPr>
        <w:jc w:val="right"/>
        <w:rPr>
          <w:rFonts w:ascii="Georgia" w:hAnsi="Georgia"/>
          <w:i/>
          <w:iCs/>
          <w:sz w:val="20"/>
          <w:szCs w:val="20"/>
        </w:rPr>
      </w:pPr>
    </w:p>
    <w:sectPr w:rsidR="008C74F9" w:rsidRPr="008C74F9" w:rsidSect="00C90F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390"/>
    <w:multiLevelType w:val="hybridMultilevel"/>
    <w:tmpl w:val="EC96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6838"/>
    <w:multiLevelType w:val="hybridMultilevel"/>
    <w:tmpl w:val="D7E4D9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E9F457B"/>
    <w:multiLevelType w:val="multilevel"/>
    <w:tmpl w:val="88CC81B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0BD"/>
    <w:multiLevelType w:val="hybridMultilevel"/>
    <w:tmpl w:val="8D90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5868">
    <w:abstractNumId w:val="2"/>
  </w:num>
  <w:num w:numId="2" w16cid:durableId="1373771487">
    <w:abstractNumId w:val="0"/>
  </w:num>
  <w:num w:numId="3" w16cid:durableId="2059042281">
    <w:abstractNumId w:val="3"/>
  </w:num>
  <w:num w:numId="4" w16cid:durableId="41709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31"/>
    <w:rsid w:val="000B21AE"/>
    <w:rsid w:val="001A683E"/>
    <w:rsid w:val="003B59F4"/>
    <w:rsid w:val="00417186"/>
    <w:rsid w:val="004C0FA9"/>
    <w:rsid w:val="00550A4F"/>
    <w:rsid w:val="00595418"/>
    <w:rsid w:val="00750FC2"/>
    <w:rsid w:val="007737B9"/>
    <w:rsid w:val="008C74F9"/>
    <w:rsid w:val="008E1749"/>
    <w:rsid w:val="008E183B"/>
    <w:rsid w:val="009B3031"/>
    <w:rsid w:val="00AB7A16"/>
    <w:rsid w:val="00B54879"/>
    <w:rsid w:val="00C13F9E"/>
    <w:rsid w:val="00C47E36"/>
    <w:rsid w:val="00C858E3"/>
    <w:rsid w:val="00C90F79"/>
    <w:rsid w:val="00CF6EF7"/>
    <w:rsid w:val="00D74F0D"/>
    <w:rsid w:val="00E62903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C1C7"/>
  <w15:chartTrackingRefBased/>
  <w15:docId w15:val="{74CF1C60-72BC-48AB-A651-EC804A6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rotary.org/en/membership-du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B8F7-5A2E-4AAB-8AA2-7A56588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Leigh Perry</cp:lastModifiedBy>
  <cp:revision>4</cp:revision>
  <dcterms:created xsi:type="dcterms:W3CDTF">2024-04-13T01:12:00Z</dcterms:created>
  <dcterms:modified xsi:type="dcterms:W3CDTF">2025-06-18T20:38:00Z</dcterms:modified>
</cp:coreProperties>
</file>