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Board Minutes of 05-14-2024</w:t>
      </w:r>
    </w:p>
    <w:p w:rsidR="00000000" w:rsidDel="00000000" w:rsidP="00000000" w:rsidRDefault="00000000" w:rsidRPr="00000000" w14:paraId="00000002">
      <w:pPr>
        <w:rPr/>
      </w:pPr>
      <w:r w:rsidDel="00000000" w:rsidR="00000000" w:rsidRPr="00000000">
        <w:rPr>
          <w:rtl w:val="0"/>
        </w:rPr>
        <w:t xml:space="preserve">Present: Sandra, Bill, Mike, Josh, Doug, Chuck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Call to Order (by Josh): 12:05 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Approval of minutes of 02/14/2023 – unanimous (we did not have a March or April meeting. Sandra moves to accept; Mike seconds.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09">
      <w:pPr>
        <w:rPr>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Bill mentioned that we need to get the signed letter that he can take to Tompkins State Bank to change the name on the CD from Chuck to Bill. Josh will print, sign, and send an image of the signed letter to Bill.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0" w:firstLine="0"/>
        <w:rPr>
          <w:sz w:val="26"/>
          <w:szCs w:val="26"/>
          <w:u w:val="single"/>
        </w:rPr>
      </w:pPr>
      <w:r w:rsidDel="00000000" w:rsidR="00000000" w:rsidRPr="00000000">
        <w:rPr>
          <w:sz w:val="26"/>
          <w:szCs w:val="26"/>
          <w:u w:val="single"/>
          <w:rtl w:val="0"/>
        </w:rPr>
        <w:t xml:space="preserve">New Business:</w:t>
      </w:r>
    </w:p>
    <w:p w:rsidR="00000000" w:rsidDel="00000000" w:rsidP="00000000" w:rsidRDefault="00000000" w:rsidRPr="00000000" w14:paraId="0000000D">
      <w:pPr>
        <w:ind w:left="0" w:firstLine="0"/>
        <w:rPr>
          <w:u w:val="single"/>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Service Club Signs</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Bill mentioned that he talked to Hillary Hoffman (Lions) about the service club sign situation. Bill proposes that we engage with the Lions and Noon Rotary to spruce up existing service club signs and also restore the east Main sign. Consensus is that it is a good idea to pursue this and directs Bill to present cost estimate at the next board meeting.</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Bill will meet with Tom S. first because there may already be a project in place. Bill to also speak to Seamus and/or Tom Foley w/ noon group.</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Sgt-at-Arms / Program Committee Assignments</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Chuck reminds us that he sent all of us the proposed schedule for 2024-2025. Some discussion as to what we need to do to approve the schedule. Chuck indicates no vote needed and that the chair normally signs off on the schedule. Josh indicates he approves.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Chuck will publish as final in the next Eye Opener.</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b w:val="1"/>
        </w:rPr>
      </w:pPr>
      <w:r w:rsidDel="00000000" w:rsidR="00000000" w:rsidRPr="00000000">
        <w:rPr>
          <w:b w:val="1"/>
          <w:rtl w:val="0"/>
        </w:rPr>
        <w:t xml:space="preserve">Scholarship Gifts</w:t>
      </w:r>
    </w:p>
    <w:p w:rsidR="00000000" w:rsidDel="00000000" w:rsidP="00000000" w:rsidRDefault="00000000" w:rsidRPr="00000000" w14:paraId="0000001B">
      <w:pPr>
        <w:ind w:left="0" w:firstLine="0"/>
        <w:rPr>
          <w:b w:val="1"/>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Sandra mentions that we need to send a check for $1500 to Knox College to cover the annual scholarship. Mike informed us that we have already paid 2x$1000 for Carl Sandburg scholarships and also 1x$1000 and 1x$500 (separate scholarships) to District 205. Mike will send a check to Knox accordingly.</w:t>
      </w:r>
      <w:r w:rsidDel="00000000" w:rsidR="00000000" w:rsidRPr="00000000">
        <w:br w:type="page"/>
      </w:r>
      <w:r w:rsidDel="00000000" w:rsidR="00000000" w:rsidRPr="00000000">
        <w:rPr>
          <w:rtl w:val="0"/>
        </w:rPr>
      </w:r>
    </w:p>
    <w:p w:rsidR="00000000" w:rsidDel="00000000" w:rsidP="00000000" w:rsidRDefault="00000000" w:rsidRPr="00000000" w14:paraId="0000001D">
      <w:pPr>
        <w:ind w:left="0" w:firstLine="0"/>
        <w:rPr>
          <w:b w:val="1"/>
        </w:rPr>
      </w:pPr>
      <w:r w:rsidDel="00000000" w:rsidR="00000000" w:rsidRPr="00000000">
        <w:rPr>
          <w:b w:val="1"/>
          <w:rtl w:val="0"/>
        </w:rPr>
        <w:t xml:space="preserve">Baseball Tickets</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Sandra explains that we can now purchase the baseball tickets online. The game is July 13th and the tickets are $60.00 each.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Chuck mentions that if the club purchases a block of tickets, he will send out an email to the Knox faculty-staff distribution list as has been done in the past. Sandra asked how many we purchased in the last block the club bought. Chuck wasn’t sure about that.</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Sandra will call Brian Barsted to make sure both club purchased and individual purchased (assuming they indicate Galesburg Sunrise club when purchasing) will give us credit for literacy grant funds.</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Plan is to huddle after our next regular club meeting once we have the information from Brian. The goal for the huddle will be to decide on the block purchase.</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b w:val="1"/>
        </w:rPr>
      </w:pPr>
      <w:r w:rsidDel="00000000" w:rsidR="00000000" w:rsidRPr="00000000">
        <w:rPr>
          <w:b w:val="1"/>
          <w:rtl w:val="0"/>
        </w:rPr>
        <w:t xml:space="preserve">Donation Policy</w:t>
      </w:r>
    </w:p>
    <w:p w:rsidR="00000000" w:rsidDel="00000000" w:rsidP="00000000" w:rsidRDefault="00000000" w:rsidRPr="00000000" w14:paraId="00000028">
      <w:pPr>
        <w:ind w:left="0" w:firstLine="0"/>
        <w:rPr>
          <w:b w:val="1"/>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Doug brings up that we don’t seem to have a formal policy which defines how we disburse funds (donations). Primary concern is consistency (year over year). Chuck brings up that we don’t have anything in our current by-laws which defines this.</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Sandra suggests that we should consider aligning our donations with our seven areas of focus:</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Peacebuilding and Conflict Resolution</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Disease Prevention and Treatment</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Water, Sanitation, and Hygiene</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Maternal and Child Health</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Basic Education and Literacy</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Community Economic Development</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Environment</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Mike will get us a list of the donations the club has made (this year and last year). We will use this information to plan.</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rPr>
          <w:sz w:val="26"/>
          <w:szCs w:val="26"/>
          <w:u w:val="single"/>
        </w:rPr>
      </w:pPr>
      <w:r w:rsidDel="00000000" w:rsidR="00000000" w:rsidRPr="00000000">
        <w:rPr>
          <w:sz w:val="26"/>
          <w:szCs w:val="26"/>
          <w:u w:val="single"/>
          <w:rtl w:val="0"/>
        </w:rPr>
        <w:t xml:space="preserve">Treasurer’s Report:</w:t>
      </w:r>
    </w:p>
    <w:p w:rsidR="00000000" w:rsidDel="00000000" w:rsidP="00000000" w:rsidRDefault="00000000" w:rsidRPr="00000000" w14:paraId="00000038">
      <w:pPr>
        <w:ind w:left="18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Current balance: $8372.15 which reflects the $1500 payment to Knox but does not include the Rotary Foundation payment (from club).</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Mike asked Bill to add the member ID # to his Rotary Foundation tracking sheet and Bill said he would try to find the information in DACdb and will update.</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Sandra asked if we had a mechanism to make online dues payments. Mike to check with Midwest on options.</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Mike indicated that Matt Rozny has not made dues payment this year</w:t>
      </w:r>
    </w:p>
    <w:p w:rsidR="00000000" w:rsidDel="00000000" w:rsidP="00000000" w:rsidRDefault="00000000" w:rsidRPr="00000000" w14:paraId="00000040">
      <w:pPr>
        <w:ind w:left="18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Mike moves to adjourn and Sandra seconds. Unanimous vote to adjourn.</w:t>
      </w:r>
    </w:p>
    <w:p w:rsidR="00000000" w:rsidDel="00000000" w:rsidP="00000000" w:rsidRDefault="00000000" w:rsidRPr="00000000" w14:paraId="00000042">
      <w:pPr>
        <w:ind w:left="18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Adjourn : 12:54 p.m.</w:t>
      </w:r>
    </w:p>
    <w:p w:rsidR="00000000" w:rsidDel="00000000" w:rsidP="00000000" w:rsidRDefault="00000000" w:rsidRPr="00000000" w14:paraId="00000045">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sz w:val="30"/>
        <w:szCs w:val="30"/>
      </w:rPr>
    </w:pPr>
    <w:r w:rsidDel="00000000" w:rsidR="00000000" w:rsidRPr="00000000">
      <w:rPr>
        <w:sz w:val="30"/>
        <w:szCs w:val="30"/>
        <w:rtl w:val="0"/>
      </w:rPr>
      <w:t xml:space="preserve">Rotary Exec Board Minutes of 05/14/2024</w:t>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